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00D31" w:rsidR="00A00D31" w:rsidP="00A00D31" w:rsidRDefault="004D458A" w14:paraId="2963DB48" w14:textId="5C8D28F1">
      <w:r w:rsidRPr="004D458A">
        <w:rPr>
          <w:rFonts w:ascii="&amp;quot" w:hAnsi="&amp;quot" w:eastAsiaTheme="majorEastAsia" w:cstheme="majorBidi"/>
          <w:b/>
          <w:bCs/>
          <w:color w:val="538135" w:themeColor="accent6" w:themeShade="BF"/>
          <w:sz w:val="51"/>
          <w:szCs w:val="51"/>
          <w:bdr w:val="none" w:color="auto" w:sz="0" w:space="0" w:frame="1"/>
        </w:rPr>
        <w:t>Changing Places</w:t>
      </w:r>
    </w:p>
    <w:p w:rsidR="00A00D31" w:rsidP="7FD88890" w:rsidRDefault="004D458A" w14:paraId="7EF26799" w14:textId="0C053901" w14:noSpellErr="1">
      <w:pPr>
        <w:rPr>
          <w:rFonts w:ascii="Times New Roman" w:hAnsi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80CE36" wp14:editId="3B81D649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6599342" cy="3210471"/>
            <wp:wrapSquare wrapText="bothSides"/>
            <wp:effectExtent l="0" t="0" r="2540" b="0"/>
            <wp:docPr id="2" name="Picture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ging-Places.jpg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99342" cy="321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FD88890" w:rsidR="7FD88890">
        <w:rPr>
          <w:rFonts w:ascii="Times New Roman" w:hAnsi="Times New Roman"/>
          <w:sz w:val="24"/>
          <w:szCs w:val="24"/>
        </w:rPr>
        <w:t/>
      </w:r>
    </w:p>
    <w:p w:rsidRPr="00A00D31" w:rsidR="00A00D31" w:rsidP="00A00D31" w:rsidRDefault="00A00D31" w14:paraId="347D46CD" w14:textId="7F068D27">
      <w:pPr>
        <w:pStyle w:val="Heading4"/>
        <w:spacing w:before="0" w:after="300"/>
        <w:textAlignment w:val="baseline"/>
        <w:rPr>
          <w:rFonts w:ascii="&amp;quot" w:hAnsi="&amp;quot"/>
          <w:b/>
          <w:bCs/>
          <w:color w:val="538135" w:themeColor="accent6" w:themeShade="BF"/>
          <w:sz w:val="42"/>
          <w:szCs w:val="42"/>
        </w:rPr>
      </w:pPr>
      <w:r w:rsidRPr="00A00D31">
        <w:rPr>
          <w:rFonts w:ascii="&amp;quot" w:hAnsi="&amp;quot"/>
          <w:b/>
          <w:bCs/>
          <w:color w:val="538135" w:themeColor="accent6" w:themeShade="BF"/>
          <w:sz w:val="42"/>
          <w:szCs w:val="42"/>
        </w:rPr>
        <w:t>How to play:</w:t>
      </w:r>
    </w:p>
    <w:p w:rsidR="004D458A" w:rsidP="00A00D31" w:rsidRDefault="004D458A" w14:paraId="24C73D24" w14:textId="77777777">
      <w:pPr>
        <w:pStyle w:val="Heading4"/>
        <w:spacing w:before="0" w:after="300"/>
        <w:textAlignment w:val="baseline"/>
        <w:rPr>
          <w:rFonts w:ascii="&amp;quot" w:hAnsi="&amp;quot" w:eastAsia="Times New Roman" w:cs="Times New Roman"/>
          <w:i w:val="0"/>
          <w:iCs w:val="0"/>
          <w:color w:val="444444"/>
          <w:sz w:val="27"/>
          <w:szCs w:val="27"/>
          <w:lang w:eastAsia="en-GB"/>
        </w:rPr>
      </w:pPr>
      <w:r w:rsidRPr="004D458A">
        <w:rPr>
          <w:rFonts w:ascii="&amp;quot" w:hAnsi="&amp;quot" w:eastAsia="Times New Roman" w:cs="Times New Roman"/>
          <w:i w:val="0"/>
          <w:iCs w:val="0"/>
          <w:color w:val="444444"/>
          <w:sz w:val="27"/>
          <w:szCs w:val="27"/>
          <w:lang w:eastAsia="en-GB"/>
        </w:rPr>
        <w:t>Allow employees to sit wherever they want… then have them move to a different seat. Ask them to think about how their perspective changed in moving to the new seat and why. After stretching for a minute, tell them they can now sit wherever they like. Watch which seat they choose. Play the game twice and see if people behave the same way the second time. Start a discussion as to why people may have changed their choice the second time around.</w:t>
      </w:r>
      <w:r w:rsidRPr="004D458A">
        <w:rPr>
          <w:rFonts w:ascii="&amp;quot" w:hAnsi="&amp;quot" w:eastAsia="Times New Roman" w:cs="Times New Roman"/>
          <w:i w:val="0"/>
          <w:iCs w:val="0"/>
          <w:color w:val="444444"/>
          <w:sz w:val="27"/>
          <w:szCs w:val="27"/>
          <w:lang w:eastAsia="en-GB"/>
        </w:rPr>
        <w:t xml:space="preserve"> </w:t>
      </w:r>
    </w:p>
    <w:p w:rsidRPr="00A00D31" w:rsidR="00A00D31" w:rsidP="00A00D31" w:rsidRDefault="00A00D31" w14:paraId="5FC241CD" w14:textId="7FFCEAC3">
      <w:pPr>
        <w:pStyle w:val="Heading4"/>
        <w:spacing w:before="0" w:after="300"/>
        <w:textAlignment w:val="baseline"/>
        <w:rPr>
          <w:rFonts w:ascii="&amp;quot" w:hAnsi="&amp;quot"/>
          <w:b/>
          <w:bCs/>
          <w:color w:val="538135" w:themeColor="accent6" w:themeShade="BF"/>
          <w:sz w:val="42"/>
          <w:szCs w:val="42"/>
        </w:rPr>
      </w:pPr>
      <w:r w:rsidRPr="00A00D31">
        <w:rPr>
          <w:rFonts w:ascii="&amp;quot" w:hAnsi="&amp;quot"/>
          <w:b/>
          <w:bCs/>
          <w:color w:val="538135" w:themeColor="accent6" w:themeShade="BF"/>
          <w:sz w:val="42"/>
          <w:szCs w:val="42"/>
        </w:rPr>
        <w:t>What’s the point?</w:t>
      </w:r>
    </w:p>
    <w:p w:rsidR="00860F84" w:rsidRDefault="00D865F1" w14:paraId="726C1A90" w14:textId="755B5B4B">
      <w:r w:rsidRPr="00D865F1">
        <w:rPr>
          <w:rFonts w:ascii="&amp;quot" w:hAnsi="&amp;quot" w:eastAsia="Times New Roman" w:cs="Times New Roman"/>
          <w:color w:val="444444"/>
          <w:sz w:val="27"/>
          <w:szCs w:val="27"/>
          <w:lang w:eastAsia="en-GB"/>
        </w:rPr>
        <w:t>Guide the discussion to highlight our innate resistance to change and the benefits of moving away from a comfort zone to the unknown. Take this opportunity to acknowledge the fear of the unknown and share information about the need for upcoming changes</w:t>
      </w:r>
    </w:p>
    <w:sectPr w:rsidR="00860F8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302F"/>
    <w:multiLevelType w:val="hybridMultilevel"/>
    <w:tmpl w:val="14E627A0"/>
    <w:lvl w:ilvl="0" w:tplc="A6825A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31"/>
    <w:rsid w:val="004D458A"/>
    <w:rsid w:val="00860F84"/>
    <w:rsid w:val="008D13B6"/>
    <w:rsid w:val="00A00D31"/>
    <w:rsid w:val="00D323F4"/>
    <w:rsid w:val="00D865F1"/>
    <w:rsid w:val="7FD88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F95D"/>
  <w15:chartTrackingRefBased/>
  <w15:docId w15:val="{FB991D2D-8F35-4D81-9CF8-E47FD50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0D3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D3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D3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A00D31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0D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00D3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00D31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898236250254B8D792079FCA0A294" ma:contentTypeVersion="4" ma:contentTypeDescription="Create a new document." ma:contentTypeScope="" ma:versionID="659f4490f5e5368f201149a292735401">
  <xsd:schema xmlns:xsd="http://www.w3.org/2001/XMLSchema" xmlns:xs="http://www.w3.org/2001/XMLSchema" xmlns:p="http://schemas.microsoft.com/office/2006/metadata/properties" xmlns:ns2="19147e82-ecb3-4231-bdc6-d9755116e62a" xmlns:ns3="1a3cc2e1-22f8-42d6-bb5e-e396331dafb0" targetNamespace="http://schemas.microsoft.com/office/2006/metadata/properties" ma:root="true" ma:fieldsID="2eb46b208be1b05552f677d8485c51b3" ns2:_="" ns3:_="">
    <xsd:import namespace="19147e82-ecb3-4231-bdc6-d9755116e62a"/>
    <xsd:import namespace="1a3cc2e1-22f8-42d6-bb5e-e396331da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47e82-ecb3-4231-bdc6-d9755116e6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c2e1-22f8-42d6-bb5e-e396331da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E614D-507E-4C97-B37E-911A4277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47e82-ecb3-4231-bdc6-d9755116e62a"/>
    <ds:schemaRef ds:uri="1a3cc2e1-22f8-42d6-bb5e-e396331da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C6F81-1E17-4E10-BEFC-1EDCDA76D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674E8-B305-4626-8FBC-22DDF8FB9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Charters</dc:creator>
  <keywords/>
  <dc:description/>
  <lastModifiedBy>Kerry Charters</lastModifiedBy>
  <revision>6</revision>
  <dcterms:created xsi:type="dcterms:W3CDTF">2019-09-11T15:54:00.0000000Z</dcterms:created>
  <dcterms:modified xsi:type="dcterms:W3CDTF">2019-09-11T16:10:45.6227618Z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0x0101006DC898236250254B8D792079FCA0A294</vt:lpwstr>
  </property>
</Properties>
</file>